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Default="0083026F" w:rsidP="0083026F">
      <w:pPr>
        <w:pStyle w:val="NormalnyWeb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STYPENDIUM SZKOLNE</w:t>
      </w:r>
      <w:r w:rsidR="004E0D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="00E94996">
        <w:rPr>
          <w:rFonts w:ascii="Arial" w:hAnsi="Arial" w:cs="Arial"/>
          <w:b/>
          <w:bCs/>
        </w:rPr>
        <w:t xml:space="preserve">INFORMACJE </w:t>
      </w:r>
      <w:r>
        <w:rPr>
          <w:rFonts w:ascii="Arial" w:hAnsi="Arial" w:cs="Arial"/>
          <w:b/>
          <w:bCs/>
        </w:rPr>
        <w:t>OGÓLNE</w:t>
      </w:r>
    </w:p>
    <w:p w:rsidR="009C37EB" w:rsidRDefault="009C37EB" w:rsidP="0039309E">
      <w:pPr>
        <w:pStyle w:val="NormalnyWeb"/>
        <w:spacing w:after="0" w:line="360" w:lineRule="auto"/>
      </w:pPr>
      <w:r w:rsidRPr="0039309E">
        <w:rPr>
          <w:b/>
        </w:rPr>
        <w:t>TERMIN SKŁADANIA WNIOSKÓW:</w:t>
      </w:r>
      <w:r>
        <w:t xml:space="preserve"> do 15 września 2021</w:t>
      </w:r>
    </w:p>
    <w:p w:rsidR="0039309E" w:rsidRPr="0039309E" w:rsidRDefault="0039309E" w:rsidP="0083026F">
      <w:pPr>
        <w:pStyle w:val="NormalnyWeb"/>
        <w:spacing w:after="0" w:line="360" w:lineRule="auto"/>
        <w:jc w:val="center"/>
        <w:rPr>
          <w:b/>
          <w:i/>
          <w:sz w:val="22"/>
          <w:szCs w:val="22"/>
        </w:rPr>
      </w:pPr>
      <w:r w:rsidRPr="0039309E">
        <w:rPr>
          <w:b/>
          <w:i/>
          <w:sz w:val="22"/>
          <w:szCs w:val="22"/>
        </w:rPr>
        <w:t xml:space="preserve">W sprawie składania wniosków proszę kontaktować się z Panią Aleksandrą Kozioł </w:t>
      </w:r>
    </w:p>
    <w:p w:rsidR="009C37EB" w:rsidRPr="0039309E" w:rsidRDefault="0039309E" w:rsidP="0083026F">
      <w:pPr>
        <w:pStyle w:val="NormalnyWeb"/>
        <w:spacing w:after="0" w:line="360" w:lineRule="auto"/>
        <w:jc w:val="center"/>
        <w:rPr>
          <w:b/>
          <w:i/>
          <w:sz w:val="22"/>
          <w:szCs w:val="22"/>
        </w:rPr>
      </w:pPr>
      <w:r w:rsidRPr="0039309E">
        <w:rPr>
          <w:b/>
          <w:i/>
          <w:sz w:val="22"/>
          <w:szCs w:val="22"/>
        </w:rPr>
        <w:t>tel.81 466 40 55 lub bezpośrednio w budynku zastępczym</w:t>
      </w:r>
      <w:r w:rsidR="00582CB9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582CB9">
        <w:rPr>
          <w:b/>
          <w:i/>
          <w:sz w:val="22"/>
          <w:szCs w:val="22"/>
        </w:rPr>
        <w:t>S</w:t>
      </w:r>
      <w:r w:rsidRPr="0039309E">
        <w:rPr>
          <w:b/>
          <w:i/>
          <w:sz w:val="22"/>
          <w:szCs w:val="22"/>
        </w:rPr>
        <w:t>zkoły przy ul. Krochmalnej 29</w:t>
      </w:r>
    </w:p>
    <w:p w:rsidR="00E94996" w:rsidRPr="00E94996" w:rsidRDefault="00E94996" w:rsidP="00E94996">
      <w:pPr>
        <w:pStyle w:val="NormalnyWeb"/>
        <w:spacing w:after="0" w:line="360" w:lineRule="auto"/>
        <w:ind w:left="284" w:hanging="284"/>
        <w:jc w:val="both"/>
        <w:rPr>
          <w:b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</w:rPr>
        <w:t xml:space="preserve">Możliwość ubiegania się o pomoc materialną dotyczy uczniów szkół oraz wychowanków ośrodków aktualnie kształcących się, </w:t>
      </w:r>
      <w:r w:rsidRPr="00E94996">
        <w:rPr>
          <w:rFonts w:ascii="Arial" w:hAnsi="Arial" w:cs="Arial"/>
          <w:b/>
        </w:rPr>
        <w:t>zamieszkałych na terenie Miasta Lublin, którzy nie ukończyli 24 roku życia.</w:t>
      </w:r>
    </w:p>
    <w:p w:rsidR="00E94996" w:rsidRDefault="00E94996" w:rsidP="00E94996">
      <w:pPr>
        <w:pStyle w:val="NormalnyWeb"/>
        <w:spacing w:after="0" w:line="360" w:lineRule="auto"/>
        <w:ind w:left="567" w:hanging="567"/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</w:rPr>
        <w:t>Wnioskodawcą może być: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rodzic/prawny opiekun – w wypadku ucznia niepełnoletniego;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uczeń – jeśli w chwili składania wniosku miał ukończone18 lat;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w szczególnych przypadkach dyrektor szkoły lub ośrodka.</w:t>
      </w:r>
    </w:p>
    <w:p w:rsidR="00B31A5F" w:rsidRDefault="00E94996" w:rsidP="00B31A5F">
      <w:pPr>
        <w:pStyle w:val="NormalnyWeb"/>
        <w:spacing w:after="0" w:line="360" w:lineRule="auto"/>
        <w:ind w:left="363"/>
        <w:jc w:val="both"/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</w:rPr>
        <w:t>Wnioski należy składać za pośrednictwem systemu STYPENDIA umożliwiającego elektroniczną obsługę stypendiów i zasiłków szkolnych</w:t>
      </w:r>
      <w:r w:rsidR="00B31A5F">
        <w:rPr>
          <w:rFonts w:ascii="Arial" w:hAnsi="Arial" w:cs="Arial"/>
        </w:rPr>
        <w:t xml:space="preserve"> pod adresem </w:t>
      </w:r>
      <w:r w:rsidR="00B31A5F">
        <w:rPr>
          <w:rFonts w:ascii="Arial" w:hAnsi="Arial" w:cs="Arial"/>
          <w:color w:val="0070C0"/>
          <w:u w:val="single"/>
        </w:rPr>
        <w:t>https://</w:t>
      </w:r>
      <w:hyperlink r:id="rId6" w:history="1">
        <w:r w:rsidR="00B31A5F">
          <w:rPr>
            <w:rStyle w:val="Hipercze"/>
            <w:rFonts w:ascii="Arial" w:hAnsi="Arial" w:cs="Arial"/>
            <w:color w:val="0070C0"/>
          </w:rPr>
          <w:t>stypendia.edu.lublin.eu</w:t>
        </w:r>
      </w:hyperlink>
      <w:r w:rsidR="00B31A5F">
        <w:rPr>
          <w:rFonts w:ascii="Arial" w:hAnsi="Arial" w:cs="Arial"/>
        </w:rPr>
        <w:t>,</w:t>
      </w:r>
    </w:p>
    <w:p w:rsidR="00E94996" w:rsidRDefault="00E94996" w:rsidP="00B31A5F">
      <w:pPr>
        <w:pStyle w:val="NormalnyWeb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 xml:space="preserve">Stypendium szkolne może otrzymać uczeń, w rodzinie którego dochód na osobę </w:t>
      </w:r>
      <w:r>
        <w:rPr>
          <w:rFonts w:ascii="Arial" w:hAnsi="Arial" w:cs="Arial"/>
          <w:b/>
          <w:bCs/>
        </w:rPr>
        <w:t>nie przekracza </w:t>
      </w:r>
      <w:r>
        <w:rPr>
          <w:rFonts w:ascii="Arial" w:hAnsi="Arial" w:cs="Arial"/>
          <w:b/>
          <w:bCs/>
          <w:color w:val="000000"/>
        </w:rPr>
        <w:t>528 </w:t>
      </w:r>
      <w:r>
        <w:rPr>
          <w:rFonts w:ascii="Arial" w:hAnsi="Arial" w:cs="Arial"/>
          <w:b/>
          <w:bCs/>
        </w:rPr>
        <w:t xml:space="preserve">zł netto </w:t>
      </w:r>
      <w:r>
        <w:rPr>
          <w:rFonts w:ascii="Arial" w:hAnsi="Arial" w:cs="Arial"/>
          <w:b/>
          <w:bCs/>
          <w:u w:val="single"/>
        </w:rPr>
        <w:t>przy jednoczesnym wystąpieniu co najmniej 1 z poniżej wymienionych okoliczności</w:t>
      </w:r>
      <w:r>
        <w:rPr>
          <w:rFonts w:ascii="Arial" w:hAnsi="Arial" w:cs="Arial"/>
          <w:b/>
          <w:bCs/>
        </w:rPr>
        <w:t>: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bezrobocia,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niepełnosprawności,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ciężkiej lub długotrwałej choroby,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wielodzietności,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braku umiejętności wypełniania funkcji opiekuńczo-wychowawczych,</w:t>
      </w:r>
    </w:p>
    <w:p w:rsidR="00E94996" w:rsidRDefault="00E94996" w:rsidP="00E94996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alkoholizmu lub narkomanii,</w:t>
      </w:r>
    </w:p>
    <w:p w:rsidR="00E94996" w:rsidRDefault="00E94996" w:rsidP="00675E99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rodziny niepełnej</w:t>
      </w:r>
      <w:r w:rsidR="00675E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94996" w:rsidRDefault="00E94996" w:rsidP="00E94996">
      <w:pPr>
        <w:pStyle w:val="NormalnyWeb"/>
        <w:spacing w:after="0" w:line="360" w:lineRule="auto"/>
        <w:ind w:left="720"/>
      </w:pP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  <w:b/>
          <w:bCs/>
        </w:rPr>
        <w:t>Ustalenie wysokości dochodu</w:t>
      </w: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  <w:b/>
          <w:bCs/>
        </w:rPr>
        <w:t xml:space="preserve">Za dochód uważa się (zgodnie z art. 8 ust. 3-13 ustawy z dnia 12 marca 2004 r. o pomocy społecznej </w:t>
      </w:r>
      <w:r>
        <w:rPr>
          <w:rFonts w:ascii="Arial" w:hAnsi="Arial" w:cs="Arial"/>
          <w:b/>
          <w:bCs/>
          <w:color w:val="000000"/>
        </w:rPr>
        <w:t>Dz.U.2020.1876 ze zm.):</w:t>
      </w:r>
    </w:p>
    <w:p w:rsidR="00E94996" w:rsidRDefault="00E94996" w:rsidP="000E26BE">
      <w:pPr>
        <w:pStyle w:val="NormalnyWeb"/>
        <w:spacing w:after="0" w:line="360" w:lineRule="auto"/>
        <w:jc w:val="both"/>
      </w:pPr>
      <w:r>
        <w:rPr>
          <w:rFonts w:ascii="Arial" w:hAnsi="Arial" w:cs="Arial"/>
        </w:rPr>
        <w:t>1. Sumę miesięcznych przychodów z miesiąca poprzedzającego złożenie wniosku lub w przypadku utraty dochodu z miesiąca, w którym wniosek został złożony, bez względu na tytuł i źródło ich uzyskania pomniejszoną o: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 miesięczne obciążenie podatkiem dochodowym od osób fizycznych;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 składki na ubezpieczenie zdrowotne oraz ubezpieczenia społeczne;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 kwotę alimentów świadczonych na rzecz innych osób.</w:t>
      </w: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</w:rPr>
        <w:t>2. Do dochodu ustalonego zgodnie z ust. 3 ww. ustawy nie wlicza się: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 jednorazowego pieniężnego świadczenia socjalnego;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 zasiłku celowego;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>·  pomocy materialnej mającej charakter socjalny albo motywacyjny, przyznawanej na podstawie przepisów o systemie oświaty;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  wartości świadczenia w naturze;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>· świadczenia przysługującego osobie bezrobotnej na podstawie przepisów o promocji zatrudnienia i instytucjach rynku pracy z tytułu wykonywania prac społecznie użytecznych;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 xml:space="preserve">· świadczenia pieniężnego i pomocy pieniężnej, o których mowa w ustawie z dnia 20 marca 2015 r. o działaczach opozycji antykomunistycznej oraz osobach represjonowanych z powodów politycznych </w:t>
      </w:r>
      <w:r>
        <w:rPr>
          <w:rFonts w:ascii="Arial" w:hAnsi="Arial" w:cs="Arial"/>
          <w:color w:val="000000"/>
        </w:rPr>
        <w:t>(Dz.U.2021.1255 t.</w:t>
      </w:r>
      <w:r w:rsidR="000E26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j.)</w:t>
      </w:r>
      <w:r>
        <w:rPr>
          <w:rFonts w:ascii="Arial" w:hAnsi="Arial" w:cs="Arial"/>
        </w:rPr>
        <w:t>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>· dochodu z powierzchni użytków rolnych poniżej 1 ha przeliczeniowego;</w:t>
      </w:r>
    </w:p>
    <w:p w:rsidR="00E94996" w:rsidRDefault="00E94996" w:rsidP="00E94996">
      <w:pPr>
        <w:pStyle w:val="NormalnyWeb"/>
        <w:spacing w:after="0" w:line="360" w:lineRule="auto"/>
        <w:ind w:left="720" w:hanging="363"/>
      </w:pPr>
      <w:r>
        <w:rPr>
          <w:rFonts w:ascii="Arial" w:hAnsi="Arial" w:cs="Arial"/>
        </w:rPr>
        <w:t xml:space="preserve">· świadczenia wychowawczego, o którym mowa w </w:t>
      </w:r>
      <w:hyperlink r:id="rId7" w:anchor="hiperlinkText.rpc?hiperlink=type=tresc:nro=Powszechny.1505034&amp;full=1" w:history="1">
        <w:r>
          <w:rPr>
            <w:rStyle w:val="Hipercze"/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z dnia 11 lutego 2016 r. o pomocy państwa w wychowywaniu dzieci </w:t>
      </w:r>
      <w:r>
        <w:rPr>
          <w:rFonts w:ascii="Arial" w:hAnsi="Arial" w:cs="Arial"/>
          <w:color w:val="000000"/>
        </w:rPr>
        <w:t>(Dz.U.2019.2407 ze zm.),</w:t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lastRenderedPageBreak/>
        <w:t xml:space="preserve">dodatku wychowawczego, o którym mowa w </w:t>
      </w:r>
      <w:hyperlink r:id="rId8" w:anchor="hiperlinkText.rpc?hiperlink=type=tresc:nro=Powszechny.1931666:ver=2&amp;full=1" w:history="1">
        <w:r>
          <w:rPr>
            <w:rStyle w:val="Hipercze"/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z dnia 9 czerwca 2011 r. o wspieraniu rodziny i systemie pieczy zastępczej </w:t>
      </w:r>
      <w:r>
        <w:rPr>
          <w:rFonts w:ascii="Arial" w:hAnsi="Arial" w:cs="Arial"/>
          <w:color w:val="000000"/>
        </w:rPr>
        <w:t>(Dz.U.2020.821 ze zm.);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>· świadczenia pieniężnego, o którym mowa w</w:t>
      </w:r>
      <w:r>
        <w:rPr>
          <w:rFonts w:ascii="Arial" w:hAnsi="Arial" w:cs="Arial"/>
          <w:color w:val="000000"/>
        </w:rPr>
        <w:t xml:space="preserve"> art. 8a ust. 1 </w:t>
      </w:r>
      <w:r>
        <w:rPr>
          <w:rFonts w:ascii="Arial" w:hAnsi="Arial" w:cs="Arial"/>
        </w:rPr>
        <w:t xml:space="preserve">ustawy z dnia 7 września 2007 r. o Karcie Polaka </w:t>
      </w:r>
      <w:r>
        <w:rPr>
          <w:rFonts w:ascii="Arial" w:hAnsi="Arial" w:cs="Arial"/>
          <w:color w:val="000000"/>
        </w:rPr>
        <w:t>(Dz.U.2019.1598 t.</w:t>
      </w:r>
      <w:r w:rsidR="000E26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j.).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 xml:space="preserve">· świadczenia pieniężnego przyznawanego na podstawie art.9 ustawy z dnia 22 listopada 2018 r. o grobach weteranów walk o wolność i niepodległość Polski (Dz. U. 2018. 2529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 xml:space="preserve">· nagrody specjalnej Prezesa Rady Ministrów przyznawanej na podstawie art. 31 a ustawy z dnia 8 sierpnia 1996 r. o Radzie Ministrów </w:t>
      </w:r>
      <w:r>
        <w:rPr>
          <w:rFonts w:ascii="Arial" w:hAnsi="Arial" w:cs="Arial"/>
          <w:color w:val="000000"/>
        </w:rPr>
        <w:t>(Dz. U. 2021. 178 ze zm.).</w:t>
      </w: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</w:rPr>
        <w:t>3. W stosunku do osób prowadzących pozarolniczą działalność gospodarczą: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 xml:space="preserve">· opodatkowaną podatkiem dochodowym od osób fizycznych na zasadach określonych w przepisach o podatku dochodowym od osób fizycznych - </w:t>
      </w:r>
      <w:r w:rsidR="000E26B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za dochód przyjmuje się przychód z tej działalności pomniejszony o koszty uzyskania przychodu, obciążenie podatkiem należnym określonym w przepisach o podatku dochodowym od osób fizycznych i składkami na ubezpieczenie zdrowotne określonymi w przepisach o świadczeniach opieki zdrowotnej finansowanych ze środków publicznych, związane </w:t>
      </w:r>
      <w:r w:rsidR="000E26BE">
        <w:rPr>
          <w:rFonts w:ascii="Arial" w:hAnsi="Arial" w:cs="Arial"/>
        </w:rPr>
        <w:br/>
      </w:r>
      <w:r>
        <w:rPr>
          <w:rFonts w:ascii="Arial" w:hAnsi="Arial" w:cs="Arial"/>
        </w:rPr>
        <w:t>z prowadzeniem tej działalności oraz odliczonymi od dochodu składkami na ubezpieczenia społeczne niezaliczonymi do kosztów uzyskania przychodów, określonymi w odrębnych przepisach, z tym że dochód ustala się, dzieląc kwotę dochodu z działalności gospodarczej wykazanego w zeznaniu podatkowym złożonym za poprzedni rok kalendarzowy przez liczbę miesięcy, w których podatnik prowadził działalność, a jeżeli nie prowadził działalności, za dochód przyjmuje się kwotę zadeklarowaną w oświadczeniu tej osoby;</w:t>
      </w:r>
    </w:p>
    <w:p w:rsidR="00E94996" w:rsidRDefault="00E94996" w:rsidP="000E26BE">
      <w:pPr>
        <w:pStyle w:val="NormalnyWeb"/>
        <w:spacing w:after="0" w:line="360" w:lineRule="auto"/>
        <w:ind w:left="720" w:hanging="363"/>
        <w:jc w:val="both"/>
      </w:pPr>
      <w:r>
        <w:rPr>
          <w:rFonts w:ascii="Arial" w:hAnsi="Arial" w:cs="Arial"/>
        </w:rPr>
        <w:t>· opodatkowaną na zasadach określonych w przepisach o zryczałtowanym podatku dochodowym od niektórych przychodów osiąganych przez osoby fizyczne - za dochód przyjmuje się kwotę zadeklarowaną w oświadczeniu tej osoby.</w:t>
      </w:r>
    </w:p>
    <w:p w:rsidR="00E94996" w:rsidRDefault="00E94996" w:rsidP="000E26BE">
      <w:pPr>
        <w:pStyle w:val="NormalnyWeb"/>
        <w:spacing w:after="0" w:line="360" w:lineRule="auto"/>
        <w:jc w:val="both"/>
      </w:pPr>
      <w:r>
        <w:rPr>
          <w:rFonts w:ascii="Arial" w:hAnsi="Arial" w:cs="Arial"/>
          <w:i/>
          <w:iCs/>
        </w:rPr>
        <w:t xml:space="preserve">(W sytuacji gdy podatnik łączy przychody z działalności gospodarczej z innymi przychodami lub rozlicza się wspólnie z małżonkiem, przez podatek należny, </w:t>
      </w:r>
      <w:r w:rsidR="000E26BE"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lastRenderedPageBreak/>
        <w:t>o którym mowa w ust. 5 pkt 1 ww. ustawy o pomocy społecznej, rozumie się podatek wyliczony w takiej proporcji, w jakiej pozostaje dochód podatnika z pozarolniczej działalności gospodarczej wynikający z deklaracji podatkowych do sumy wszystkich wykazanych w nich dochodów.)</w:t>
      </w: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</w:rPr>
        <w:t xml:space="preserve">4.  Przyjmuje się, że z 1 ha przeliczeniowego uzyskuje się dochód miesięczny w wysokości 308 </w:t>
      </w:r>
      <w:r>
        <w:rPr>
          <w:rFonts w:ascii="Arial" w:hAnsi="Arial" w:cs="Arial"/>
          <w:i/>
          <w:iCs/>
        </w:rPr>
        <w:t>zł</w:t>
      </w:r>
      <w:r>
        <w:rPr>
          <w:rFonts w:ascii="Arial" w:hAnsi="Arial" w:cs="Arial"/>
        </w:rPr>
        <w:t>.</w:t>
      </w:r>
    </w:p>
    <w:p w:rsidR="00E94996" w:rsidRDefault="00E94996" w:rsidP="00E94996">
      <w:pPr>
        <w:pStyle w:val="NormalnyWeb"/>
        <w:spacing w:after="0" w:line="360" w:lineRule="auto"/>
      </w:pPr>
      <w:r>
        <w:rPr>
          <w:rFonts w:ascii="Arial" w:hAnsi="Arial" w:cs="Arial"/>
        </w:rPr>
        <w:t>5. Dochody z pozarolniczej działalności gospodarczej i z ha przeliczeniowych oraz z innych źródeł sumuje się.</w:t>
      </w:r>
    </w:p>
    <w:p w:rsidR="00E94996" w:rsidRDefault="00E94996" w:rsidP="000E26BE">
      <w:pPr>
        <w:pStyle w:val="NormalnyWeb"/>
        <w:spacing w:after="0" w:line="360" w:lineRule="auto"/>
        <w:jc w:val="both"/>
      </w:pPr>
      <w:r>
        <w:rPr>
          <w:rFonts w:ascii="Arial" w:hAnsi="Arial" w:cs="Arial"/>
        </w:rPr>
        <w:t>6. W przypadku uzyskania, w ciągu 12 miesięcy poprzedzających miesiąc złożenia wniosku lub w okresie pobierania świadczenia, dochodu jednorazowego przekraczającego pięciokrotnie kwoty kryterium dochodowego, które w przypadku osoby w rodzinie wynosi</w:t>
      </w:r>
      <w:r>
        <w:rPr>
          <w:rFonts w:ascii="Arial" w:hAnsi="Arial" w:cs="Arial"/>
          <w:color w:val="000000"/>
        </w:rPr>
        <w:t xml:space="preserve"> 528</w:t>
      </w:r>
      <w:r>
        <w:rPr>
          <w:rFonts w:ascii="Arial" w:hAnsi="Arial" w:cs="Arial"/>
        </w:rPr>
        <w:t xml:space="preserve"> zł, kwotę tego dochodu rozlicza się w równych częściach na 12 kolejnych miesięcy, poczynając od miesiąca, w którym dochód został wypłacony.</w:t>
      </w:r>
    </w:p>
    <w:p w:rsidR="00E94996" w:rsidRDefault="00E94996" w:rsidP="000E26BE">
      <w:pPr>
        <w:pStyle w:val="NormalnyWeb"/>
        <w:spacing w:after="0" w:line="360" w:lineRule="auto"/>
        <w:jc w:val="both"/>
      </w:pPr>
      <w:r>
        <w:rPr>
          <w:rFonts w:ascii="Arial" w:hAnsi="Arial" w:cs="Arial"/>
        </w:rPr>
        <w:t>7. W przypadku uzyskania jednorazowo dochodu należnego za dany okres, kwotę tego dochodu uwzględnia się w dochodzie osoby lub rodziny przez okres, za który uzyskano ten dochód.</w:t>
      </w:r>
    </w:p>
    <w:p w:rsidR="000E26BE" w:rsidRDefault="00E94996" w:rsidP="000E26BE">
      <w:pPr>
        <w:pStyle w:val="NormalnyWeb"/>
        <w:spacing w:after="0" w:line="360" w:lineRule="auto"/>
        <w:jc w:val="both"/>
      </w:pPr>
      <w:r>
        <w:rPr>
          <w:rFonts w:ascii="Arial" w:hAnsi="Arial" w:cs="Arial"/>
        </w:rPr>
        <w:t>8. W przypadku uzyskiwania dochodu w walucie obcej, wysokość tego dochodu ustala się według średniego kursu Narodowego Banku Polskiego z dnia wydania decyzji administracyjnej w sprawie świadczenia z pomocy społecznej.</w:t>
      </w:r>
    </w:p>
    <w:p w:rsidR="000E26BE" w:rsidRDefault="000E26BE" w:rsidP="000E26BE">
      <w:pPr>
        <w:pStyle w:val="NormalnyWeb"/>
        <w:spacing w:after="0" w:line="360" w:lineRule="auto"/>
        <w:jc w:val="both"/>
      </w:pPr>
    </w:p>
    <w:p w:rsidR="000E26BE" w:rsidRDefault="000E26BE" w:rsidP="000E26BE">
      <w:pPr>
        <w:pStyle w:val="NormalnyWeb"/>
        <w:spacing w:after="0" w:line="360" w:lineRule="auto"/>
        <w:jc w:val="both"/>
      </w:pPr>
    </w:p>
    <w:p w:rsidR="000E26BE" w:rsidRDefault="000E26BE" w:rsidP="000E26BE">
      <w:pPr>
        <w:pStyle w:val="NormalnyWeb"/>
        <w:spacing w:after="0" w:line="360" w:lineRule="auto"/>
        <w:jc w:val="both"/>
      </w:pPr>
    </w:p>
    <w:sectPr w:rsidR="000E26BE" w:rsidSect="00675E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1071"/>
    <w:multiLevelType w:val="multilevel"/>
    <w:tmpl w:val="020E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996"/>
    <w:rsid w:val="000E26BE"/>
    <w:rsid w:val="001E0500"/>
    <w:rsid w:val="0039309E"/>
    <w:rsid w:val="004E0D70"/>
    <w:rsid w:val="00582CB9"/>
    <w:rsid w:val="005E26A7"/>
    <w:rsid w:val="00675E99"/>
    <w:rsid w:val="0083026F"/>
    <w:rsid w:val="008E47F8"/>
    <w:rsid w:val="009C37EB"/>
    <w:rsid w:val="00A2040F"/>
    <w:rsid w:val="00B31A5F"/>
    <w:rsid w:val="00BB15FE"/>
    <w:rsid w:val="00D45F6B"/>
    <w:rsid w:val="00D77BED"/>
    <w:rsid w:val="00E94996"/>
    <w:rsid w:val="00F0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4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9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lublin.eu/lex/index.rpc" TargetMode="External"/><Relationship Id="rId3" Type="http://schemas.openxmlformats.org/officeDocument/2006/relationships/styles" Target="styles.xml"/><Relationship Id="rId7" Type="http://schemas.openxmlformats.org/officeDocument/2006/relationships/hyperlink" Target="http://lex.lublin.eu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ypendia.edu.lublin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93EAF-9F9D-48E1-A38E-6692B8BA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ZSE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akoziol</dc:creator>
  <cp:lastModifiedBy>ELA</cp:lastModifiedBy>
  <cp:revision>5</cp:revision>
  <dcterms:created xsi:type="dcterms:W3CDTF">2021-09-07T18:48:00Z</dcterms:created>
  <dcterms:modified xsi:type="dcterms:W3CDTF">2021-09-07T18:59:00Z</dcterms:modified>
</cp:coreProperties>
</file>